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119" w:rsidRPr="002328F2" w:rsidRDefault="00DB2533" w:rsidP="00A37119">
      <w:pPr>
        <w:pStyle w:val="CRCoverPage"/>
        <w:tabs>
          <w:tab w:val="right" w:pos="9639"/>
        </w:tabs>
        <w:spacing w:after="0"/>
        <w:rPr>
          <w:rFonts w:cs="Arial"/>
          <w:b/>
          <w:i/>
          <w:noProof/>
          <w:sz w:val="24"/>
          <w:szCs w:val="24"/>
        </w:rPr>
      </w:pPr>
      <w:bookmarkStart w:id="0" w:name="_Ref399006623"/>
      <w:bookmarkStart w:id="1" w:name="_Toc92513360"/>
      <w:r w:rsidRPr="00DB2533">
        <w:rPr>
          <w:b/>
          <w:sz w:val="24"/>
          <w:szCs w:val="24"/>
          <w:lang w:val="en-GB"/>
        </w:rPr>
        <w:t>3GPP TSG-RAN WG2 NR Ad hoc 1801</w:t>
      </w:r>
      <w:r w:rsidR="00A37119" w:rsidRPr="002328F2">
        <w:rPr>
          <w:rFonts w:cs="Arial"/>
          <w:b/>
          <w:i/>
          <w:noProof/>
          <w:sz w:val="24"/>
          <w:szCs w:val="24"/>
        </w:rPr>
        <w:tab/>
      </w:r>
      <w:bookmarkStart w:id="2" w:name="_GoBack"/>
      <w:r w:rsidR="00A37119" w:rsidRPr="002328F2">
        <w:rPr>
          <w:rFonts w:cs="Arial"/>
          <w:b/>
          <w:noProof/>
          <w:sz w:val="24"/>
          <w:szCs w:val="24"/>
          <w:lang w:eastAsia="zh-CN"/>
        </w:rPr>
        <w:t>R2-</w:t>
      </w:r>
      <w:r w:rsidR="008449B8" w:rsidRPr="002328F2">
        <w:rPr>
          <w:rFonts w:cs="Arial"/>
          <w:b/>
          <w:noProof/>
          <w:sz w:val="24"/>
          <w:szCs w:val="24"/>
          <w:lang w:eastAsia="zh-CN"/>
        </w:rPr>
        <w:t>1</w:t>
      </w:r>
      <w:r>
        <w:rPr>
          <w:rFonts w:cs="Arial"/>
          <w:b/>
          <w:noProof/>
          <w:sz w:val="24"/>
          <w:szCs w:val="24"/>
          <w:lang w:eastAsia="zh-CN"/>
        </w:rPr>
        <w:t>8</w:t>
      </w:r>
      <w:r w:rsidR="005300A3">
        <w:rPr>
          <w:rFonts w:cs="Arial"/>
          <w:b/>
          <w:noProof/>
          <w:sz w:val="24"/>
          <w:szCs w:val="24"/>
          <w:lang w:eastAsia="zh-CN"/>
        </w:rPr>
        <w:t>00414</w:t>
      </w:r>
      <w:bookmarkEnd w:id="2"/>
    </w:p>
    <w:p w:rsidR="00DB2533" w:rsidRPr="00DB2533" w:rsidRDefault="00DB2533" w:rsidP="00DB2533">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DB2533">
        <w:rPr>
          <w:rFonts w:ascii="Arial" w:eastAsia="MS Mincho" w:hAnsi="Arial"/>
          <w:b/>
          <w:sz w:val="24"/>
          <w:szCs w:val="24"/>
          <w:lang w:eastAsia="x-none"/>
        </w:rPr>
        <w:t>Vancouver, Canada, 22nd January – 26th January 2018</w:t>
      </w:r>
    </w:p>
    <w:p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t>1</w:t>
      </w:r>
      <w:r w:rsidR="00DB2533">
        <w:rPr>
          <w:rFonts w:ascii="Arial" w:hAnsi="Arial" w:cs="Arial"/>
          <w:sz w:val="24"/>
          <w:szCs w:val="24"/>
        </w:rPr>
        <w:t>1</w:t>
      </w:r>
      <w:r w:rsidRPr="002328F2">
        <w:rPr>
          <w:rFonts w:ascii="Arial" w:hAnsi="Arial" w:cs="Arial"/>
          <w:sz w:val="24"/>
          <w:szCs w:val="24"/>
        </w:rPr>
        <w:t>.</w:t>
      </w:r>
      <w:r w:rsidR="00DB2533">
        <w:rPr>
          <w:rFonts w:ascii="Arial" w:hAnsi="Arial" w:cs="Arial"/>
          <w:sz w:val="24"/>
          <w:szCs w:val="24"/>
        </w:rPr>
        <w:t>1</w:t>
      </w:r>
    </w:p>
    <w:p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BA3A37">
        <w:rPr>
          <w:rFonts w:ascii="Arial" w:hAnsi="Arial" w:cs="Arial"/>
          <w:sz w:val="24"/>
          <w:szCs w:val="24"/>
        </w:rPr>
        <w:t xml:space="preserve">IAB </w:t>
      </w:r>
      <w:r w:rsidR="00ED2C3C">
        <w:rPr>
          <w:rFonts w:ascii="Arial" w:hAnsi="Arial" w:cs="Arial"/>
          <w:sz w:val="24"/>
          <w:szCs w:val="24"/>
        </w:rPr>
        <w:t xml:space="preserve">– </w:t>
      </w:r>
      <w:r w:rsidR="001423B3">
        <w:rPr>
          <w:rFonts w:ascii="Arial" w:hAnsi="Arial" w:cs="Arial"/>
          <w:sz w:val="24"/>
          <w:szCs w:val="24"/>
        </w:rPr>
        <w:t>Control</w:t>
      </w:r>
      <w:r w:rsidR="00ED2C3C">
        <w:rPr>
          <w:rFonts w:ascii="Arial" w:hAnsi="Arial" w:cs="Arial"/>
          <w:sz w:val="24"/>
          <w:szCs w:val="24"/>
        </w:rPr>
        <w:t>-plane Aspects</w:t>
      </w:r>
      <w:r w:rsidR="00BA3A37">
        <w:rPr>
          <w:rFonts w:ascii="Arial" w:hAnsi="Arial" w:cs="Arial"/>
          <w:sz w:val="24"/>
          <w:szCs w:val="24"/>
        </w:rPr>
        <w:t xml:space="preserve"> </w:t>
      </w:r>
    </w:p>
    <w:p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rsidR="00BB7889" w:rsidRPr="007C2F71" w:rsidRDefault="00BB7889" w:rsidP="00C23B88">
      <w:pPr>
        <w:pStyle w:val="Heading1"/>
        <w:rPr>
          <w:lang w:eastAsia="zh-CN"/>
        </w:rPr>
      </w:pPr>
      <w:r w:rsidRPr="00C23B88">
        <w:t>Introduction</w:t>
      </w:r>
    </w:p>
    <w:p w:rsidR="000360A3" w:rsidRPr="008F650A" w:rsidRDefault="00176A7B" w:rsidP="000360A3">
      <w:pPr>
        <w:rPr>
          <w:bCs/>
          <w:iCs/>
          <w:sz w:val="22"/>
        </w:rPr>
      </w:pPr>
      <w:r>
        <w:rPr>
          <w:sz w:val="22"/>
        </w:rPr>
        <w:t>SA1 has defined the following requirements for self-backhauling</w:t>
      </w:r>
      <w:r w:rsidR="000605E7">
        <w:rPr>
          <w:bCs/>
          <w:iCs/>
          <w:sz w:val="22"/>
        </w:rPr>
        <w:t xml:space="preserve"> </w:t>
      </w:r>
      <w:r w:rsidR="000360A3" w:rsidRPr="008F650A">
        <w:rPr>
          <w:bCs/>
          <w:iCs/>
          <w:sz w:val="22"/>
        </w:rPr>
        <w:t>[1]:</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bookmarkStart w:id="3" w:name="_Hlk502996877"/>
      <w:r w:rsidRPr="00EF3997">
        <w:rPr>
          <w:bCs/>
        </w:rPr>
        <w:t>The 5G network shall enable operators to support wireless self-backhaul using NR and E-UTRA.</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r w:rsidRPr="00EF3997">
        <w:rPr>
          <w:bCs/>
        </w:rPr>
        <w:t>The 5G network shall support flexible and efficient wireless self-backhaul for both indoor and outdoor scenarios.</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r w:rsidRPr="00EF3997">
        <w:rPr>
          <w:bCs/>
        </w:rPr>
        <w:t>The 5G network shall support flexible partitioning of radio resources between access and backhaul functions</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r w:rsidRPr="00EF3997">
        <w:rPr>
          <w:bCs/>
        </w:rPr>
        <w:t>The 5G network shall support autonomous configuration of access and wireless self-backhaul functions.</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r w:rsidRPr="00EF3997">
        <w:rPr>
          <w:bCs/>
        </w:rPr>
        <w:t>The 5G network shall support multi-hop wireless self-backhauling.</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rPr>
          <w:bCs/>
        </w:rPr>
      </w:pPr>
      <w:r w:rsidRPr="00EF3997">
        <w:rPr>
          <w:bCs/>
        </w:rPr>
        <w:t>The 5G network shall support autonomous adaptation on wireless self-backhaul network topologies to minimize service disruptions.</w:t>
      </w:r>
    </w:p>
    <w:p w:rsidR="002F158E" w:rsidRPr="00EF3997" w:rsidRDefault="002F158E" w:rsidP="00DA7484">
      <w:pPr>
        <w:pStyle w:val="ListParagraph"/>
        <w:numPr>
          <w:ilvl w:val="0"/>
          <w:numId w:val="5"/>
        </w:numPr>
        <w:pBdr>
          <w:top w:val="single" w:sz="4" w:space="1" w:color="auto"/>
          <w:left w:val="single" w:sz="4" w:space="4" w:color="auto"/>
          <w:bottom w:val="single" w:sz="4" w:space="1" w:color="auto"/>
          <w:right w:val="single" w:sz="4" w:space="4" w:color="auto"/>
        </w:pBdr>
        <w:spacing w:after="0"/>
        <w:ind w:firstLineChars="0"/>
        <w:contextualSpacing/>
      </w:pPr>
      <w:r w:rsidRPr="00EF3997">
        <w:rPr>
          <w:bCs/>
        </w:rPr>
        <w:t>The 5G network shall support topologically redundant connectivity</w:t>
      </w:r>
      <w:r w:rsidRPr="00EF3997">
        <w:t xml:space="preserve"> on the wireless self-backhaul.</w:t>
      </w:r>
    </w:p>
    <w:bookmarkEnd w:id="3"/>
    <w:p w:rsidR="002F158E" w:rsidRDefault="002F158E" w:rsidP="000605E7">
      <w:pPr>
        <w:rPr>
          <w:sz w:val="22"/>
        </w:rPr>
      </w:pPr>
    </w:p>
    <w:p w:rsidR="000605E7" w:rsidRPr="008F650A" w:rsidRDefault="00176A7B" w:rsidP="000605E7">
      <w:pPr>
        <w:rPr>
          <w:bCs/>
          <w:iCs/>
          <w:sz w:val="22"/>
        </w:rPr>
      </w:pPr>
      <w:r>
        <w:rPr>
          <w:sz w:val="22"/>
        </w:rPr>
        <w:t>The Integrated Access and Backhaul Study Item Document further defines the following requirements</w:t>
      </w:r>
      <w:r w:rsidR="000605E7">
        <w:rPr>
          <w:sz w:val="22"/>
        </w:rPr>
        <w:t xml:space="preserve"> </w:t>
      </w:r>
      <w:r w:rsidR="000605E7" w:rsidRPr="008F650A">
        <w:rPr>
          <w:bCs/>
          <w:iCs/>
          <w:sz w:val="22"/>
        </w:rPr>
        <w:t>[</w:t>
      </w:r>
      <w:r>
        <w:rPr>
          <w:bCs/>
          <w:iCs/>
          <w:sz w:val="22"/>
        </w:rPr>
        <w:t>2</w:t>
      </w:r>
      <w:r w:rsidR="000605E7" w:rsidRPr="008F650A">
        <w:rPr>
          <w:bCs/>
          <w:iCs/>
          <w:sz w:val="22"/>
        </w:rPr>
        <w:t>]:</w:t>
      </w:r>
    </w:p>
    <w:p w:rsidR="002F158E" w:rsidRPr="00081E05" w:rsidRDefault="002F158E" w:rsidP="00DA7484">
      <w:pPr>
        <w:numPr>
          <w:ilvl w:val="0"/>
          <w:numId w:val="6"/>
        </w:numPr>
        <w:pBdr>
          <w:top w:val="single" w:sz="4" w:space="1" w:color="auto"/>
          <w:left w:val="single" w:sz="4" w:space="4" w:color="auto"/>
          <w:bottom w:val="single" w:sz="4" w:space="1" w:color="auto"/>
          <w:right w:val="single" w:sz="4" w:space="4" w:color="auto"/>
        </w:pBd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rsidR="002F158E" w:rsidRDefault="002F158E" w:rsidP="00DA7484">
      <w:pPr>
        <w:numPr>
          <w:ilvl w:val="0"/>
          <w:numId w:val="6"/>
        </w:numPr>
        <w:pBdr>
          <w:top w:val="single" w:sz="4" w:space="1" w:color="auto"/>
          <w:left w:val="single" w:sz="4" w:space="4" w:color="auto"/>
          <w:bottom w:val="single" w:sz="4" w:space="1" w:color="auto"/>
          <w:right w:val="single" w:sz="4" w:space="4" w:color="auto"/>
        </w:pBdr>
        <w:spacing w:after="0"/>
        <w:rPr>
          <w:bCs/>
        </w:rPr>
      </w:pPr>
      <w:r>
        <w:rPr>
          <w:bCs/>
        </w:rPr>
        <w:t>M</w:t>
      </w:r>
      <w:r w:rsidRPr="00081E05">
        <w:rPr>
          <w:bCs/>
        </w:rPr>
        <w:t>ulti-hop and redundant connectivity</w:t>
      </w:r>
    </w:p>
    <w:p w:rsidR="002F158E" w:rsidRDefault="002F158E" w:rsidP="00DA7484">
      <w:pPr>
        <w:numPr>
          <w:ilvl w:val="0"/>
          <w:numId w:val="6"/>
        </w:numPr>
        <w:pBdr>
          <w:top w:val="single" w:sz="4" w:space="1" w:color="auto"/>
          <w:left w:val="single" w:sz="4" w:space="4" w:color="auto"/>
          <w:bottom w:val="single" w:sz="4" w:space="1" w:color="auto"/>
          <w:right w:val="single" w:sz="4" w:space="4" w:color="auto"/>
        </w:pBdr>
        <w:spacing w:after="0"/>
        <w:rPr>
          <w:bCs/>
        </w:rPr>
      </w:pPr>
      <w:r>
        <w:rPr>
          <w:bCs/>
        </w:rPr>
        <w:t>End-to-end route selection and optimization</w:t>
      </w:r>
    </w:p>
    <w:p w:rsidR="002F158E" w:rsidRDefault="002F158E" w:rsidP="00DA7484">
      <w:pPr>
        <w:numPr>
          <w:ilvl w:val="0"/>
          <w:numId w:val="6"/>
        </w:numPr>
        <w:pBdr>
          <w:top w:val="single" w:sz="4" w:space="1" w:color="auto"/>
          <w:left w:val="single" w:sz="4" w:space="4" w:color="auto"/>
          <w:bottom w:val="single" w:sz="4" w:space="1" w:color="auto"/>
          <w:right w:val="single" w:sz="4" w:space="4" w:color="auto"/>
        </w:pBdr>
        <w:spacing w:after="0"/>
        <w:rPr>
          <w:bCs/>
        </w:rPr>
      </w:pPr>
      <w:r>
        <w:rPr>
          <w:bCs/>
        </w:rPr>
        <w:t>Support of backhaul links with high spectral efficiency</w:t>
      </w:r>
    </w:p>
    <w:p w:rsidR="002F158E" w:rsidRPr="00081E05" w:rsidRDefault="002F158E" w:rsidP="00DA7484">
      <w:pPr>
        <w:numPr>
          <w:ilvl w:val="0"/>
          <w:numId w:val="6"/>
        </w:numPr>
        <w:pBdr>
          <w:top w:val="single" w:sz="4" w:space="1" w:color="auto"/>
          <w:left w:val="single" w:sz="4" w:space="4" w:color="auto"/>
          <w:bottom w:val="single" w:sz="4" w:space="1" w:color="auto"/>
          <w:right w:val="single" w:sz="4" w:space="4" w:color="auto"/>
        </w:pBdr>
        <w:spacing w:after="0"/>
        <w:rPr>
          <w:bCs/>
        </w:rPr>
      </w:pPr>
      <w:r w:rsidRPr="00081E05">
        <w:rPr>
          <w:bCs/>
        </w:rPr>
        <w:t xml:space="preserve">Support of legacy </w:t>
      </w:r>
      <w:r>
        <w:rPr>
          <w:bCs/>
        </w:rPr>
        <w:t xml:space="preserve">NR </w:t>
      </w:r>
      <w:r w:rsidRPr="00081E05">
        <w:rPr>
          <w:bCs/>
        </w:rPr>
        <w:t>UEs</w:t>
      </w:r>
    </w:p>
    <w:p w:rsidR="000360A3" w:rsidRPr="008F650A" w:rsidRDefault="000360A3" w:rsidP="008F650A">
      <w:pPr>
        <w:rPr>
          <w:sz w:val="22"/>
        </w:rPr>
      </w:pPr>
    </w:p>
    <w:p w:rsidR="008F650A" w:rsidRDefault="008F650A" w:rsidP="008F650A">
      <w:pPr>
        <w:rPr>
          <w:sz w:val="22"/>
        </w:rPr>
      </w:pPr>
      <w:r w:rsidRPr="008F650A">
        <w:rPr>
          <w:sz w:val="22"/>
        </w:rPr>
        <w:t xml:space="preserve">In this </w:t>
      </w:r>
      <w:r w:rsidR="00894C02">
        <w:rPr>
          <w:sz w:val="22"/>
        </w:rPr>
        <w:t>document</w:t>
      </w:r>
      <w:r w:rsidRPr="008F650A">
        <w:rPr>
          <w:sz w:val="22"/>
        </w:rPr>
        <w:t xml:space="preserve">, we </w:t>
      </w:r>
      <w:r>
        <w:rPr>
          <w:sz w:val="22"/>
        </w:rPr>
        <w:t xml:space="preserve">discuss </w:t>
      </w:r>
      <w:r w:rsidR="00790789">
        <w:rPr>
          <w:sz w:val="22"/>
        </w:rPr>
        <w:t>C</w:t>
      </w:r>
      <w:r w:rsidR="00ED2C3C">
        <w:rPr>
          <w:sz w:val="22"/>
        </w:rPr>
        <w:t xml:space="preserve">-plane </w:t>
      </w:r>
      <w:r w:rsidR="00182C5D">
        <w:rPr>
          <w:sz w:val="22"/>
        </w:rPr>
        <w:t>considerations</w:t>
      </w:r>
      <w:r w:rsidR="00DA41CA">
        <w:rPr>
          <w:sz w:val="22"/>
        </w:rPr>
        <w:t xml:space="preserve"> </w:t>
      </w:r>
      <w:r w:rsidR="00182C5D">
        <w:rPr>
          <w:sz w:val="22"/>
        </w:rPr>
        <w:t>for the</w:t>
      </w:r>
      <w:r w:rsidR="00DA41CA">
        <w:rPr>
          <w:sz w:val="22"/>
        </w:rPr>
        <w:t xml:space="preserve"> IAB study.</w:t>
      </w:r>
    </w:p>
    <w:p w:rsidR="00387427" w:rsidRDefault="00387427" w:rsidP="008F650A">
      <w:pPr>
        <w:rPr>
          <w:sz w:val="22"/>
        </w:rPr>
      </w:pPr>
      <w:r>
        <w:rPr>
          <w:sz w:val="22"/>
        </w:rPr>
        <w:t>The following terminology is used in this document:</w:t>
      </w:r>
    </w:p>
    <w:p w:rsidR="00E65130" w:rsidRDefault="00E65130" w:rsidP="00E65130">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360"/>
        <w:contextualSpacing/>
        <w:textAlignment w:val="auto"/>
      </w:pPr>
      <w:r w:rsidRPr="00E65130">
        <w:rPr>
          <w:b/>
        </w:rPr>
        <w:t>IAB-node:</w:t>
      </w:r>
      <w:r>
        <w:t xml:space="preserve"> </w:t>
      </w:r>
      <w:r w:rsidR="002059FC">
        <w:t>A</w:t>
      </w:r>
      <w:r>
        <w:t xml:space="preserve"> RAN-node that provides IAB functionality, i.e. access for UEs combined with wireless self-backhauling</w:t>
      </w:r>
      <w:r w:rsidR="00554A31">
        <w:t xml:space="preserve"> capabilities</w:t>
      </w:r>
      <w:r>
        <w:t>.</w:t>
      </w:r>
    </w:p>
    <w:p w:rsidR="00E65130" w:rsidRDefault="00E65130" w:rsidP="00E65130">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360"/>
        <w:contextualSpacing/>
        <w:textAlignment w:val="auto"/>
      </w:pPr>
      <w:r w:rsidRPr="00E65130">
        <w:rPr>
          <w:b/>
        </w:rPr>
        <w:t>Donor:</w:t>
      </w:r>
      <w:r>
        <w:t xml:space="preserve"> </w:t>
      </w:r>
      <w:r w:rsidR="002059FC">
        <w:t xml:space="preserve">A </w:t>
      </w:r>
      <w:r>
        <w:t>RAN-node that terminates Ng interface with core network.</w:t>
      </w:r>
    </w:p>
    <w:p w:rsidR="00E65130" w:rsidRDefault="00E65130" w:rsidP="00E65130">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360"/>
        <w:contextualSpacing/>
        <w:textAlignment w:val="auto"/>
      </w:pPr>
      <w:r w:rsidRPr="00E65130">
        <w:rPr>
          <w:b/>
        </w:rPr>
        <w:t>Path:</w:t>
      </w:r>
      <w:r>
        <w:t xml:space="preserve"> A </w:t>
      </w:r>
      <w:r w:rsidR="00620DDD">
        <w:t xml:space="preserve">transport connection consistent of a </w:t>
      </w:r>
      <w:r>
        <w:t xml:space="preserve">sequence of </w:t>
      </w:r>
      <w:r w:rsidR="00620DDD">
        <w:t xml:space="preserve">physical </w:t>
      </w:r>
      <w:r>
        <w:t>links.</w:t>
      </w:r>
    </w:p>
    <w:p w:rsidR="00E65130" w:rsidRDefault="00E65130" w:rsidP="008F650A">
      <w:pPr>
        <w:rPr>
          <w:sz w:val="22"/>
        </w:rPr>
      </w:pPr>
    </w:p>
    <w:p w:rsidR="00387427" w:rsidRPr="008F650A" w:rsidRDefault="00387427" w:rsidP="008F650A">
      <w:pPr>
        <w:rPr>
          <w:sz w:val="22"/>
        </w:rPr>
      </w:pPr>
    </w:p>
    <w:p w:rsidR="00BB7889" w:rsidRDefault="00405B3C" w:rsidP="00C23B88">
      <w:pPr>
        <w:pStyle w:val="Heading1"/>
        <w:rPr>
          <w:rFonts w:eastAsia="SimSun"/>
          <w:lang w:eastAsia="zh-CN"/>
        </w:rPr>
      </w:pPr>
      <w:r w:rsidRPr="00C23B88">
        <w:t>Discussion</w:t>
      </w:r>
    </w:p>
    <w:p w:rsidR="00790789" w:rsidRPr="00790789" w:rsidRDefault="00790789" w:rsidP="00790789">
      <w:pPr>
        <w:overflowPunct/>
        <w:autoSpaceDE/>
        <w:autoSpaceDN/>
        <w:adjustRightInd/>
        <w:spacing w:after="160" w:line="259" w:lineRule="auto"/>
        <w:contextualSpacing/>
        <w:textAlignment w:val="auto"/>
        <w:rPr>
          <w:b/>
          <w:u w:val="single"/>
        </w:rPr>
      </w:pPr>
      <w:r w:rsidRPr="00790789">
        <w:rPr>
          <w:b/>
          <w:u w:val="single"/>
        </w:rPr>
        <w:t>NR enhancements to support backhaul link</w:t>
      </w:r>
    </w:p>
    <w:p w:rsidR="00790789" w:rsidRDefault="00790789" w:rsidP="00790789">
      <w:pPr>
        <w:overflowPunct/>
        <w:autoSpaceDE/>
        <w:autoSpaceDN/>
        <w:adjustRightInd/>
        <w:spacing w:after="160" w:line="259" w:lineRule="auto"/>
        <w:contextualSpacing/>
        <w:textAlignment w:val="auto"/>
      </w:pPr>
      <w:r>
        <w:t>The backhaul link can leverage a variety of C-plane features from the NR access link. The NR-access link is hierarchical in nature as it forwards traffic between an access node and a UE. Consequently, the main control functionality is assigned to the access node while the UE follows the access-node’s commands.</w:t>
      </w:r>
    </w:p>
    <w:p w:rsidR="00790789" w:rsidRDefault="00790789" w:rsidP="00790789">
      <w:pPr>
        <w:overflowPunct/>
        <w:autoSpaceDE/>
        <w:autoSpaceDN/>
        <w:adjustRightInd/>
        <w:spacing w:after="160" w:line="259" w:lineRule="auto"/>
        <w:contextualSpacing/>
        <w:textAlignment w:val="auto"/>
      </w:pPr>
      <w:r>
        <w:t xml:space="preserve">As the backhaul link forwards traffic between a donor and a UE, the same hierarchy can be embedded. Consequently, the main control functionality is assigned to the backhaul link’s end-point toward the donor while the other </w:t>
      </w:r>
      <w:proofErr w:type="gramStart"/>
      <w:r>
        <w:t>end point</w:t>
      </w:r>
      <w:proofErr w:type="gramEnd"/>
      <w:r>
        <w:t xml:space="preserve"> follows commands. In this manner, C-plane functionality defined for the NR access link can be leveraged for the backhaul link.</w:t>
      </w:r>
    </w:p>
    <w:p w:rsidR="00790789" w:rsidRDefault="00790789" w:rsidP="00790789">
      <w:pPr>
        <w:overflowPunct/>
        <w:autoSpaceDE/>
        <w:autoSpaceDN/>
        <w:adjustRightInd/>
        <w:spacing w:after="160" w:line="259" w:lineRule="auto"/>
        <w:contextualSpacing/>
        <w:textAlignment w:val="auto"/>
      </w:pPr>
      <w:r w:rsidRPr="00790789">
        <w:rPr>
          <w:b/>
        </w:rPr>
        <w:lastRenderedPageBreak/>
        <w:t>Observation</w:t>
      </w:r>
      <w:r w:rsidR="00B178DE">
        <w:rPr>
          <w:b/>
        </w:rPr>
        <w:t xml:space="preserve"> 1</w:t>
      </w:r>
      <w:r w:rsidRPr="00790789">
        <w:rPr>
          <w:b/>
        </w:rPr>
        <w:t>:</w:t>
      </w:r>
      <w:r>
        <w:t xml:space="preserve"> The hierarchical nature of the backhaul link allows leveraging C-plane features defined for the NR access link.</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Proposal</w:t>
      </w:r>
      <w:r>
        <w:rPr>
          <w:b/>
        </w:rPr>
        <w:t xml:space="preserve"> 1</w:t>
      </w:r>
      <w:r w:rsidRPr="00790789">
        <w:rPr>
          <w:b/>
        </w:rPr>
        <w:t>:</w:t>
      </w:r>
      <w:r>
        <w:t xml:space="preserve"> The study should consider adopting C-plane functionality from the NR access link for the backhaul link.</w:t>
      </w:r>
    </w:p>
    <w:p w:rsidR="00790789" w:rsidRDefault="00790789" w:rsidP="00790789">
      <w:pPr>
        <w:pStyle w:val="ListParagraph"/>
        <w:ind w:left="1480" w:firstLineChars="0" w:firstLine="0"/>
      </w:pPr>
    </w:p>
    <w:p w:rsidR="00790789" w:rsidRPr="00790789" w:rsidRDefault="00790789" w:rsidP="00790789">
      <w:pPr>
        <w:overflowPunct/>
        <w:autoSpaceDE/>
        <w:autoSpaceDN/>
        <w:adjustRightInd/>
        <w:spacing w:after="160" w:line="259" w:lineRule="auto"/>
        <w:contextualSpacing/>
        <w:textAlignment w:val="auto"/>
        <w:rPr>
          <w:b/>
          <w:u w:val="single"/>
        </w:rPr>
      </w:pPr>
      <w:r w:rsidRPr="00790789">
        <w:rPr>
          <w:b/>
          <w:u w:val="single"/>
        </w:rPr>
        <w:t>Autonomous IAB-node integration into network</w:t>
      </w:r>
    </w:p>
    <w:p w:rsidR="00790789" w:rsidRDefault="00790789" w:rsidP="00790789">
      <w:pPr>
        <w:overflowPunct/>
        <w:autoSpaceDE/>
        <w:autoSpaceDN/>
        <w:adjustRightInd/>
        <w:spacing w:after="160" w:line="259" w:lineRule="auto"/>
        <w:contextualSpacing/>
        <w:textAlignment w:val="auto"/>
      </w:pPr>
      <w:r>
        <w:t xml:space="preserve">Many of the steps required for a IAB-node to integrate into the network are analogue to those applied by a UE when registering and connecting to the network. </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Observation</w:t>
      </w:r>
      <w:r w:rsidR="00B178DE">
        <w:rPr>
          <w:b/>
        </w:rPr>
        <w:t xml:space="preserve"> 2</w:t>
      </w:r>
      <w:r w:rsidRPr="00790789">
        <w:rPr>
          <w:b/>
        </w:rPr>
        <w:t>:</w:t>
      </w:r>
      <w:r>
        <w:t xml:space="preserve"> Many features of UE-based network integration (registration, PDU-session establishment, etc.) can be leveraged for IAB-node-based network integration.</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Proposal</w:t>
      </w:r>
      <w:r>
        <w:rPr>
          <w:b/>
        </w:rPr>
        <w:t xml:space="preserve"> 2</w:t>
      </w:r>
      <w:r w:rsidRPr="00790789">
        <w:rPr>
          <w:b/>
        </w:rPr>
        <w:t>:</w:t>
      </w:r>
      <w:r>
        <w:t xml:space="preserve"> UE-based network integration features should be leveraged for IAB-node-based network integration.</w:t>
      </w:r>
    </w:p>
    <w:p w:rsidR="00790789" w:rsidRDefault="00790789" w:rsidP="00790789">
      <w:pPr>
        <w:pStyle w:val="ListParagraph"/>
        <w:ind w:left="1080" w:firstLineChars="0" w:firstLine="0"/>
      </w:pPr>
    </w:p>
    <w:p w:rsidR="00790789" w:rsidRPr="00790789" w:rsidRDefault="00790789" w:rsidP="00790789">
      <w:pPr>
        <w:overflowPunct/>
        <w:autoSpaceDE/>
        <w:autoSpaceDN/>
        <w:adjustRightInd/>
        <w:spacing w:after="160" w:line="259" w:lineRule="auto"/>
        <w:contextualSpacing/>
        <w:textAlignment w:val="auto"/>
        <w:rPr>
          <w:b/>
          <w:u w:val="single"/>
        </w:rPr>
      </w:pPr>
      <w:r w:rsidRPr="00790789">
        <w:rPr>
          <w:b/>
          <w:u w:val="single"/>
        </w:rPr>
        <w:t>Topology management</w:t>
      </w:r>
    </w:p>
    <w:p w:rsidR="00790789" w:rsidRDefault="00790789" w:rsidP="00790789">
      <w:pPr>
        <w:overflowPunct/>
        <w:autoSpaceDE/>
        <w:autoSpaceDN/>
        <w:adjustRightInd/>
        <w:spacing w:after="160" w:line="259" w:lineRule="auto"/>
        <w:contextualSpacing/>
        <w:textAlignment w:val="auto"/>
      </w:pPr>
      <w:r>
        <w:t>Topology management functionality enables dynamic change of the IAB network topology, e.g. in response to node integration, link quality changes or node failure. Topology management can handle tasks such as:</w:t>
      </w:r>
    </w:p>
    <w:p w:rsidR="00790789" w:rsidRDefault="00790789" w:rsidP="00790789">
      <w:pPr>
        <w:pStyle w:val="ListParagraph"/>
        <w:numPr>
          <w:ilvl w:val="0"/>
          <w:numId w:val="16"/>
        </w:numPr>
        <w:overflowPunct/>
        <w:autoSpaceDE/>
        <w:autoSpaceDN/>
        <w:adjustRightInd/>
        <w:spacing w:after="160" w:line="259" w:lineRule="auto"/>
        <w:ind w:firstLineChars="0"/>
        <w:contextualSpacing/>
        <w:textAlignment w:val="auto"/>
      </w:pPr>
      <w:r>
        <w:t xml:space="preserve">Procedures for configuration of measurement metrics and measurements reports. The measurement metrics may refer to signal strengths of </w:t>
      </w:r>
      <w:proofErr w:type="spellStart"/>
      <w:r>
        <w:t>neighbor</w:t>
      </w:r>
      <w:proofErr w:type="spellEnd"/>
      <w:r>
        <w:t>-IAB-node reference signals, link-quality of active backhaul links, load metrics, etc.</w:t>
      </w:r>
    </w:p>
    <w:p w:rsidR="00790789" w:rsidRDefault="00790789" w:rsidP="00790789">
      <w:pPr>
        <w:pStyle w:val="ListParagraph"/>
        <w:overflowPunct/>
        <w:autoSpaceDE/>
        <w:autoSpaceDN/>
        <w:adjustRightInd/>
        <w:spacing w:after="160" w:line="259" w:lineRule="auto"/>
        <w:ind w:left="644" w:firstLineChars="0" w:firstLine="0"/>
        <w:contextualSpacing/>
        <w:textAlignment w:val="auto"/>
      </w:pPr>
    </w:p>
    <w:p w:rsidR="00790789" w:rsidRDefault="00790789" w:rsidP="00790789">
      <w:pPr>
        <w:pStyle w:val="ListParagraph"/>
        <w:numPr>
          <w:ilvl w:val="0"/>
          <w:numId w:val="16"/>
        </w:numPr>
        <w:overflowPunct/>
        <w:autoSpaceDE/>
        <w:autoSpaceDN/>
        <w:adjustRightInd/>
        <w:spacing w:after="160" w:line="259" w:lineRule="auto"/>
        <w:ind w:firstLineChars="0"/>
        <w:contextualSpacing/>
        <w:textAlignment w:val="auto"/>
      </w:pPr>
      <w:r>
        <w:t>Determine topology changes, e.g. based on such measurement reports.</w:t>
      </w:r>
    </w:p>
    <w:p w:rsidR="00790789" w:rsidRDefault="00790789" w:rsidP="00790789">
      <w:pPr>
        <w:pStyle w:val="ListParagraph"/>
        <w:overflowPunct/>
        <w:autoSpaceDE/>
        <w:autoSpaceDN/>
        <w:adjustRightInd/>
        <w:spacing w:after="160" w:line="259" w:lineRule="auto"/>
        <w:ind w:left="644" w:firstLineChars="0" w:firstLine="0"/>
        <w:contextualSpacing/>
        <w:textAlignment w:val="auto"/>
      </w:pPr>
    </w:p>
    <w:p w:rsidR="00790789" w:rsidRDefault="00790789" w:rsidP="00790789">
      <w:pPr>
        <w:pStyle w:val="ListParagraph"/>
        <w:numPr>
          <w:ilvl w:val="0"/>
          <w:numId w:val="16"/>
        </w:numPr>
        <w:overflowPunct/>
        <w:autoSpaceDE/>
        <w:autoSpaceDN/>
        <w:adjustRightInd/>
        <w:spacing w:after="160" w:line="259" w:lineRule="auto"/>
        <w:ind w:firstLineChars="0"/>
        <w:contextualSpacing/>
        <w:textAlignment w:val="auto"/>
      </w:pPr>
      <w:r>
        <w:t xml:space="preserve">Procedures for topology reconfiguration, e.g. based on determined topology changes.  </w:t>
      </w:r>
    </w:p>
    <w:p w:rsidR="00790789" w:rsidRDefault="00790789" w:rsidP="00790789">
      <w:pPr>
        <w:overflowPunct/>
        <w:autoSpaceDE/>
        <w:autoSpaceDN/>
        <w:adjustRightInd/>
        <w:spacing w:after="160" w:line="259" w:lineRule="auto"/>
        <w:contextualSpacing/>
        <w:textAlignment w:val="auto"/>
      </w:pPr>
      <w:r w:rsidRPr="00790789">
        <w:rPr>
          <w:b/>
        </w:rPr>
        <w:t>Observation</w:t>
      </w:r>
      <w:r w:rsidR="00B178DE">
        <w:rPr>
          <w:b/>
        </w:rPr>
        <w:t xml:space="preserve"> 3</w:t>
      </w:r>
      <w:r w:rsidRPr="00790789">
        <w:rPr>
          <w:b/>
        </w:rPr>
        <w:t>:</w:t>
      </w:r>
      <w:r>
        <w:t xml:space="preserve"> Topology management functionality is necessary to support dynamic topology adaptation to changes link quality, node integration or node failure.</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Proposal 3:</w:t>
      </w:r>
      <w:r>
        <w:t xml:space="preserve"> The study should include topology management procedures.</w:t>
      </w:r>
    </w:p>
    <w:p w:rsidR="00790789" w:rsidRDefault="00790789" w:rsidP="00790789">
      <w:pPr>
        <w:pStyle w:val="ListParagraph"/>
        <w:ind w:left="1080" w:firstLineChars="0" w:firstLine="0"/>
      </w:pPr>
    </w:p>
    <w:p w:rsidR="00790789" w:rsidRPr="00790789" w:rsidRDefault="00790789" w:rsidP="00790789">
      <w:pPr>
        <w:overflowPunct/>
        <w:autoSpaceDE/>
        <w:autoSpaceDN/>
        <w:adjustRightInd/>
        <w:spacing w:after="160" w:line="259" w:lineRule="auto"/>
        <w:contextualSpacing/>
        <w:textAlignment w:val="auto"/>
        <w:rPr>
          <w:b/>
          <w:u w:val="single"/>
        </w:rPr>
      </w:pPr>
      <w:r w:rsidRPr="00790789">
        <w:rPr>
          <w:b/>
          <w:u w:val="single"/>
        </w:rPr>
        <w:t>Path management</w:t>
      </w:r>
    </w:p>
    <w:p w:rsidR="00790789" w:rsidRDefault="00790789" w:rsidP="00790789">
      <w:pPr>
        <w:overflowPunct/>
        <w:autoSpaceDE/>
        <w:autoSpaceDN/>
        <w:adjustRightInd/>
        <w:spacing w:after="160" w:line="259" w:lineRule="auto"/>
        <w:contextualSpacing/>
        <w:textAlignment w:val="auto"/>
      </w:pPr>
      <w:r>
        <w:t>Path management summarizes all tasks related to the establishment of the forwarding paths between two nodes in the IAB topology. Path (re-)configuration may be invoked when the IAB topology changes. In topologies with redundant paths, it may also be invoked to switch between active and backup paths, or to determine the relative weights for multi-path forwarding.</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Observation</w:t>
      </w:r>
      <w:r w:rsidR="00B178DE">
        <w:rPr>
          <w:b/>
        </w:rPr>
        <w:t xml:space="preserve"> 4</w:t>
      </w:r>
      <w:r w:rsidRPr="00790789">
        <w:rPr>
          <w:b/>
        </w:rPr>
        <w:t>:</w:t>
      </w:r>
      <w:r>
        <w:t xml:space="preserve"> Path management functionality is necessary to establish or change forwarding paths in response to topology changes, or link quality or load-level changes.</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Proposal</w:t>
      </w:r>
      <w:r>
        <w:rPr>
          <w:b/>
        </w:rPr>
        <w:t xml:space="preserve"> 4</w:t>
      </w:r>
      <w:r w:rsidRPr="00790789">
        <w:rPr>
          <w:b/>
        </w:rPr>
        <w:t>:</w:t>
      </w:r>
      <w:r>
        <w:t xml:space="preserve"> The study should include path management procedures.</w:t>
      </w:r>
    </w:p>
    <w:p w:rsidR="00790789" w:rsidRDefault="00790789" w:rsidP="00790789">
      <w:pPr>
        <w:pStyle w:val="ListParagraph"/>
        <w:ind w:left="1080" w:firstLineChars="0" w:firstLine="0"/>
      </w:pPr>
    </w:p>
    <w:p w:rsidR="00790789" w:rsidRPr="00790789" w:rsidRDefault="00790789" w:rsidP="00790789">
      <w:pPr>
        <w:overflowPunct/>
        <w:autoSpaceDE/>
        <w:autoSpaceDN/>
        <w:adjustRightInd/>
        <w:spacing w:after="160" w:line="259" w:lineRule="auto"/>
        <w:contextualSpacing/>
        <w:textAlignment w:val="auto"/>
        <w:rPr>
          <w:b/>
          <w:u w:val="single"/>
        </w:rPr>
      </w:pPr>
      <w:r w:rsidRPr="00790789">
        <w:rPr>
          <w:b/>
          <w:u w:val="single"/>
        </w:rPr>
        <w:t>Resource partitioning</w:t>
      </w:r>
    </w:p>
    <w:p w:rsidR="00790789" w:rsidRDefault="00790789" w:rsidP="00790789">
      <w:pPr>
        <w:overflowPunct/>
        <w:autoSpaceDE/>
        <w:autoSpaceDN/>
        <w:adjustRightInd/>
        <w:spacing w:after="160" w:line="259" w:lineRule="auto"/>
        <w:contextualSpacing/>
        <w:textAlignment w:val="auto"/>
      </w:pPr>
      <w:r>
        <w:t xml:space="preserve">Resource partitioning addresses inter-link interference and half-duplexing constraint for links that are adjacent or in close mutual vicinity. Due to the extended IAB topology, resource partitioning defines a non-local optimization problem. </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Observation</w:t>
      </w:r>
      <w:r w:rsidR="00B178DE">
        <w:rPr>
          <w:b/>
        </w:rPr>
        <w:t xml:space="preserve"> 5</w:t>
      </w:r>
      <w:r w:rsidRPr="00790789">
        <w:rPr>
          <w:b/>
        </w:rPr>
        <w:t>:</w:t>
      </w:r>
      <w:r>
        <w:t xml:space="preserve"> Resource portioning procedures are necessary to configure the IAB topology in compliance with inter-link interference and half-duplexing constraint.</w:t>
      </w:r>
    </w:p>
    <w:p w:rsidR="00790789" w:rsidRDefault="00790789" w:rsidP="00790789">
      <w:pPr>
        <w:overflowPunct/>
        <w:autoSpaceDE/>
        <w:autoSpaceDN/>
        <w:adjustRightInd/>
        <w:spacing w:after="160" w:line="259" w:lineRule="auto"/>
        <w:contextualSpacing/>
        <w:textAlignment w:val="auto"/>
      </w:pPr>
    </w:p>
    <w:p w:rsidR="00790789" w:rsidRDefault="00790789" w:rsidP="00790789">
      <w:pPr>
        <w:overflowPunct/>
        <w:autoSpaceDE/>
        <w:autoSpaceDN/>
        <w:adjustRightInd/>
        <w:spacing w:after="160" w:line="259" w:lineRule="auto"/>
        <w:contextualSpacing/>
        <w:textAlignment w:val="auto"/>
      </w:pPr>
      <w:r w:rsidRPr="00790789">
        <w:rPr>
          <w:b/>
        </w:rPr>
        <w:t>Proposal 5:</w:t>
      </w:r>
      <w:r>
        <w:t xml:space="preserve"> The study should include procedures for resource partitioning.</w:t>
      </w:r>
    </w:p>
    <w:p w:rsidR="00FA4C39" w:rsidRPr="00544ACA" w:rsidRDefault="00FA4C39" w:rsidP="00FA4C39">
      <w:pPr>
        <w:rPr>
          <w:rFonts w:eastAsia="SimSun"/>
          <w:b/>
          <w:lang w:eastAsia="zh-CN"/>
        </w:rPr>
      </w:pPr>
    </w:p>
    <w:p w:rsidR="00FA4C39" w:rsidRPr="00FA4CFC" w:rsidRDefault="00FA4C39" w:rsidP="00FA4C39">
      <w:pPr>
        <w:pStyle w:val="Heading1"/>
        <w:rPr>
          <w:lang w:eastAsia="zh-CN"/>
        </w:rPr>
      </w:pPr>
      <w:r w:rsidRPr="00FA4CFC">
        <w:rPr>
          <w:lang w:eastAsia="zh-CN"/>
        </w:rPr>
        <w:lastRenderedPageBreak/>
        <w:t>Conclusion</w:t>
      </w:r>
    </w:p>
    <w:p w:rsidR="00FA4C39" w:rsidRPr="00054259" w:rsidRDefault="00FA4C39" w:rsidP="00FA4C39">
      <w:pPr>
        <w:rPr>
          <w:sz w:val="22"/>
          <w:szCs w:val="22"/>
        </w:rPr>
      </w:pPr>
      <w:r w:rsidRPr="00054259">
        <w:rPr>
          <w:sz w:val="22"/>
          <w:szCs w:val="22"/>
        </w:rPr>
        <w:t xml:space="preserve">In this document, </w:t>
      </w:r>
      <w:r w:rsidRPr="008F650A">
        <w:rPr>
          <w:sz w:val="22"/>
        </w:rPr>
        <w:t xml:space="preserve">we </w:t>
      </w:r>
      <w:r>
        <w:rPr>
          <w:sz w:val="22"/>
        </w:rPr>
        <w:t xml:space="preserve">discuss </w:t>
      </w:r>
      <w:r w:rsidR="00790789">
        <w:rPr>
          <w:sz w:val="22"/>
        </w:rPr>
        <w:t>C</w:t>
      </w:r>
      <w:r w:rsidR="00626655">
        <w:rPr>
          <w:sz w:val="22"/>
        </w:rPr>
        <w:t>-plane</w:t>
      </w:r>
      <w:r>
        <w:rPr>
          <w:sz w:val="22"/>
        </w:rPr>
        <w:t xml:space="preserve"> aspects that should be addressed in the IAB study. The following aspects should be considered in the study</w:t>
      </w:r>
      <w:r w:rsidRPr="00054259">
        <w:rPr>
          <w:sz w:val="22"/>
          <w:szCs w:val="22"/>
        </w:rPr>
        <w:t>:</w:t>
      </w:r>
    </w:p>
    <w:p w:rsidR="004D20EC" w:rsidRPr="003849C9" w:rsidRDefault="004D20EC" w:rsidP="004D20EC">
      <w:pPr>
        <w:overflowPunct/>
        <w:autoSpaceDE/>
        <w:autoSpaceDN/>
        <w:adjustRightInd/>
        <w:spacing w:after="160" w:line="259" w:lineRule="auto"/>
        <w:contextualSpacing/>
        <w:textAlignment w:val="auto"/>
        <w:rPr>
          <w:b/>
        </w:rPr>
      </w:pPr>
      <w:r w:rsidRPr="003849C9">
        <w:rPr>
          <w:b/>
        </w:rPr>
        <w:t>Observation 1: The hierarchical nature of the backhaul link allows leveraging C-plane features defined for the NR access link.</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u w:val="single"/>
        </w:rPr>
      </w:pPr>
      <w:r w:rsidRPr="003849C9">
        <w:rPr>
          <w:b/>
          <w:u w:val="single"/>
        </w:rPr>
        <w:t>Proposal 1: The study should consider adopting C-plane functionality from the NR access link for the backhaul link.</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rPr>
      </w:pPr>
      <w:r w:rsidRPr="003849C9">
        <w:rPr>
          <w:b/>
        </w:rPr>
        <w:t>Observation 2: Many features of UE-based network integration (registration, PDU-session establishment, etc.) can be leveraged for IAB-node-based network integration.</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u w:val="single"/>
        </w:rPr>
      </w:pPr>
      <w:r w:rsidRPr="003849C9">
        <w:rPr>
          <w:b/>
          <w:u w:val="single"/>
        </w:rPr>
        <w:t>Proposal 2: UE-based network integration features should be leveraged for IAB-node-based network integration.</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rPr>
      </w:pPr>
      <w:r w:rsidRPr="003849C9">
        <w:rPr>
          <w:b/>
        </w:rPr>
        <w:t>Observation 3: Topology management functionality is necessary to support dynamic topology adaptation to changes link quality, node integration or node failure.</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u w:val="single"/>
        </w:rPr>
      </w:pPr>
      <w:r w:rsidRPr="003849C9">
        <w:rPr>
          <w:b/>
          <w:u w:val="single"/>
        </w:rPr>
        <w:t>Proposal 3: The study should include topology management procedures.</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rPr>
      </w:pPr>
      <w:r w:rsidRPr="003849C9">
        <w:rPr>
          <w:b/>
        </w:rPr>
        <w:t>Observation 4: Path management functionality is necessary to establish or change forwarding paths in response to topology changes, or link quality or load-level changes.</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u w:val="single"/>
        </w:rPr>
      </w:pPr>
      <w:r w:rsidRPr="003849C9">
        <w:rPr>
          <w:b/>
          <w:u w:val="single"/>
        </w:rPr>
        <w:t>Proposal 4: The study should include path management procedures.</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rPr>
      </w:pPr>
      <w:r w:rsidRPr="003849C9">
        <w:rPr>
          <w:b/>
        </w:rPr>
        <w:t>Observation 5: Resource portioning procedures are necessary to configure the IAB topology in compliance with inter-link interference and half-duplexing constraint.</w:t>
      </w:r>
    </w:p>
    <w:p w:rsidR="004D20EC" w:rsidRPr="003849C9" w:rsidRDefault="004D20EC" w:rsidP="004D20EC">
      <w:pPr>
        <w:overflowPunct/>
        <w:autoSpaceDE/>
        <w:autoSpaceDN/>
        <w:adjustRightInd/>
        <w:spacing w:after="160" w:line="259" w:lineRule="auto"/>
        <w:contextualSpacing/>
        <w:textAlignment w:val="auto"/>
        <w:rPr>
          <w:b/>
        </w:rPr>
      </w:pPr>
    </w:p>
    <w:p w:rsidR="004D20EC" w:rsidRPr="003849C9" w:rsidRDefault="004D20EC" w:rsidP="004D20EC">
      <w:pPr>
        <w:overflowPunct/>
        <w:autoSpaceDE/>
        <w:autoSpaceDN/>
        <w:adjustRightInd/>
        <w:spacing w:after="160" w:line="259" w:lineRule="auto"/>
        <w:contextualSpacing/>
        <w:textAlignment w:val="auto"/>
        <w:rPr>
          <w:b/>
          <w:u w:val="single"/>
        </w:rPr>
      </w:pPr>
      <w:r w:rsidRPr="003849C9">
        <w:rPr>
          <w:b/>
          <w:u w:val="single"/>
        </w:rPr>
        <w:t>Proposal 5: The study should include procedures for resource partitioning.</w:t>
      </w:r>
    </w:p>
    <w:p w:rsidR="00FA4C39" w:rsidRPr="006E13D1" w:rsidRDefault="00FA4C39" w:rsidP="00FA4C39">
      <w:pPr>
        <w:pStyle w:val="Heading1"/>
      </w:pPr>
      <w:r w:rsidRPr="006E13D1">
        <w:t>References</w:t>
      </w:r>
    </w:p>
    <w:p w:rsidR="00FA4C39" w:rsidRDefault="00FA4C39" w:rsidP="00FA4C39">
      <w:pPr>
        <w:numPr>
          <w:ilvl w:val="0"/>
          <w:numId w:val="4"/>
        </w:numPr>
      </w:pPr>
      <w:r>
        <w:t>3GPP TS 22.261: Technical Specification Group Services and System Aspects; Service requirements for next generation new services and markets; Stage 1 (Release 15)</w:t>
      </w:r>
    </w:p>
    <w:p w:rsidR="00FA4C39" w:rsidRPr="00B2597F" w:rsidRDefault="00FA4C39" w:rsidP="00FA4C39">
      <w:pPr>
        <w:numPr>
          <w:ilvl w:val="0"/>
          <w:numId w:val="4"/>
        </w:numPr>
      </w:pPr>
      <w:r w:rsidRPr="00B2597F">
        <w:t>RP-170821: New SID Proposal: Study on Integrated Access and Backhaul for NR</w:t>
      </w:r>
      <w:r>
        <w:t>; TSG RAN Meeting #75,</w:t>
      </w:r>
      <w:r>
        <w:tab/>
        <w:t>Dubrovnik, Croatia, March 6 - 9, 2017</w:t>
      </w:r>
    </w:p>
    <w:p w:rsidR="00FA4C39" w:rsidRPr="00581C51" w:rsidRDefault="00FA4C39" w:rsidP="00FA4C39">
      <w:pPr>
        <w:pStyle w:val="Doc-text2"/>
        <w:rPr>
          <w:rFonts w:ascii="Times New Roman" w:eastAsia="Times New Roman" w:hAnsi="Times New Roman"/>
          <w:sz w:val="22"/>
          <w:szCs w:val="20"/>
          <w:lang w:eastAsia="en-US"/>
        </w:rPr>
      </w:pPr>
    </w:p>
    <w:p w:rsidR="00586905" w:rsidRPr="00581C51" w:rsidRDefault="00586905" w:rsidP="00FA4C39">
      <w:pPr>
        <w:rPr>
          <w:sz w:val="22"/>
        </w:rPr>
      </w:pPr>
    </w:p>
    <w:sectPr w:rsidR="00586905" w:rsidRPr="00581C51"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3DB" w:rsidRDefault="000843DB">
      <w:r>
        <w:separator/>
      </w:r>
    </w:p>
  </w:endnote>
  <w:endnote w:type="continuationSeparator" w:id="0">
    <w:p w:rsidR="000843DB" w:rsidRDefault="0008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304" w:rsidRDefault="009F53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3DB" w:rsidRDefault="000843DB">
      <w:r>
        <w:separator/>
      </w:r>
    </w:p>
  </w:footnote>
  <w:footnote w:type="continuationSeparator" w:id="0">
    <w:p w:rsidR="000843DB" w:rsidRDefault="00084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054"/>
    <w:multiLevelType w:val="hybridMultilevel"/>
    <w:tmpl w:val="CB12E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71122"/>
    <w:multiLevelType w:val="hybridMultilevel"/>
    <w:tmpl w:val="0F3602B4"/>
    <w:lvl w:ilvl="0" w:tplc="F3E2EE8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0C0914"/>
    <w:multiLevelType w:val="hybridMultilevel"/>
    <w:tmpl w:val="F22E79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8340F22"/>
    <w:multiLevelType w:val="hybridMultilevel"/>
    <w:tmpl w:val="941C7730"/>
    <w:lvl w:ilvl="0" w:tplc="F3E2EE8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930A47"/>
    <w:multiLevelType w:val="hybridMultilevel"/>
    <w:tmpl w:val="F9B0A0B2"/>
    <w:lvl w:ilvl="0" w:tplc="F3E2EE8A">
      <w:start w:val="1"/>
      <w:numFmt w:val="bullet"/>
      <w:lvlText w:val="–"/>
      <w:lvlJc w:val="left"/>
      <w:pPr>
        <w:ind w:left="644" w:hanging="360"/>
      </w:pPr>
      <w:rPr>
        <w:rFonts w:ascii="Calibri" w:hAnsi="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2E650A"/>
    <w:multiLevelType w:val="hybridMultilevel"/>
    <w:tmpl w:val="EA60E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7C1B37"/>
    <w:multiLevelType w:val="hybridMultilevel"/>
    <w:tmpl w:val="8E06DDA4"/>
    <w:lvl w:ilvl="0" w:tplc="F3E2EE8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2D73BA7"/>
    <w:multiLevelType w:val="hybridMultilevel"/>
    <w:tmpl w:val="59408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05F3A"/>
    <w:multiLevelType w:val="hybridMultilevel"/>
    <w:tmpl w:val="00BC6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F2D12"/>
    <w:multiLevelType w:val="hybridMultilevel"/>
    <w:tmpl w:val="75F603AC"/>
    <w:lvl w:ilvl="0" w:tplc="F3E2EE8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9"/>
  </w:num>
  <w:num w:numId="3">
    <w:abstractNumId w:val="11"/>
  </w:num>
  <w:num w:numId="4">
    <w:abstractNumId w:val="8"/>
  </w:num>
  <w:num w:numId="5">
    <w:abstractNumId w:val="15"/>
  </w:num>
  <w:num w:numId="6">
    <w:abstractNumId w:val="2"/>
  </w:num>
  <w:num w:numId="7">
    <w:abstractNumId w:val="7"/>
  </w:num>
  <w:num w:numId="8">
    <w:abstractNumId w:val="13"/>
  </w:num>
  <w:num w:numId="9">
    <w:abstractNumId w:val="6"/>
  </w:num>
  <w:num w:numId="10">
    <w:abstractNumId w:val="0"/>
  </w:num>
  <w:num w:numId="11">
    <w:abstractNumId w:val="3"/>
  </w:num>
  <w:num w:numId="12">
    <w:abstractNumId w:val="14"/>
  </w:num>
  <w:num w:numId="13">
    <w:abstractNumId w:val="10"/>
  </w:num>
  <w:num w:numId="14">
    <w:abstractNumId w:val="12"/>
  </w:num>
  <w:num w:numId="15">
    <w:abstractNumId w:val="1"/>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3DB"/>
    <w:rsid w:val="000846F3"/>
    <w:rsid w:val="00084DD6"/>
    <w:rsid w:val="00085335"/>
    <w:rsid w:val="000855C5"/>
    <w:rsid w:val="00085939"/>
    <w:rsid w:val="00085980"/>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903"/>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691"/>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C12"/>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120A"/>
    <w:rsid w:val="00122A38"/>
    <w:rsid w:val="00123389"/>
    <w:rsid w:val="00124C70"/>
    <w:rsid w:val="00125210"/>
    <w:rsid w:val="00125824"/>
    <w:rsid w:val="00125993"/>
    <w:rsid w:val="00125D4E"/>
    <w:rsid w:val="00125FC0"/>
    <w:rsid w:val="0012618D"/>
    <w:rsid w:val="00126A3F"/>
    <w:rsid w:val="001277C1"/>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3B3"/>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EEF"/>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301C"/>
    <w:rsid w:val="00173B5D"/>
    <w:rsid w:val="00174045"/>
    <w:rsid w:val="00174C11"/>
    <w:rsid w:val="00175090"/>
    <w:rsid w:val="0017556A"/>
    <w:rsid w:val="001757FD"/>
    <w:rsid w:val="00176127"/>
    <w:rsid w:val="00176A7B"/>
    <w:rsid w:val="00176AED"/>
    <w:rsid w:val="00177C30"/>
    <w:rsid w:val="001804BE"/>
    <w:rsid w:val="00180945"/>
    <w:rsid w:val="00181048"/>
    <w:rsid w:val="0018126A"/>
    <w:rsid w:val="001815BA"/>
    <w:rsid w:val="001815F1"/>
    <w:rsid w:val="00181721"/>
    <w:rsid w:val="0018178B"/>
    <w:rsid w:val="00181AD5"/>
    <w:rsid w:val="001822D6"/>
    <w:rsid w:val="001824D1"/>
    <w:rsid w:val="00182628"/>
    <w:rsid w:val="00182C5D"/>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5DCD"/>
    <w:rsid w:val="00195F48"/>
    <w:rsid w:val="00196CED"/>
    <w:rsid w:val="0019781D"/>
    <w:rsid w:val="00197F54"/>
    <w:rsid w:val="001A070B"/>
    <w:rsid w:val="001A08FF"/>
    <w:rsid w:val="001A094C"/>
    <w:rsid w:val="001A1378"/>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F8C"/>
    <w:rsid w:val="001B57DA"/>
    <w:rsid w:val="001B659B"/>
    <w:rsid w:val="001B6B6A"/>
    <w:rsid w:val="001B7033"/>
    <w:rsid w:val="001B708E"/>
    <w:rsid w:val="001B72DC"/>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8D2"/>
    <w:rsid w:val="001C6BE2"/>
    <w:rsid w:val="001C766F"/>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59FC"/>
    <w:rsid w:val="00206151"/>
    <w:rsid w:val="0020646D"/>
    <w:rsid w:val="00207021"/>
    <w:rsid w:val="002071CE"/>
    <w:rsid w:val="002072F3"/>
    <w:rsid w:val="002074D5"/>
    <w:rsid w:val="00207D80"/>
    <w:rsid w:val="00207E46"/>
    <w:rsid w:val="00210250"/>
    <w:rsid w:val="00210AB3"/>
    <w:rsid w:val="00211125"/>
    <w:rsid w:val="002113BC"/>
    <w:rsid w:val="002122E4"/>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3513"/>
    <w:rsid w:val="002436BD"/>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6016"/>
    <w:rsid w:val="0027699C"/>
    <w:rsid w:val="00276A44"/>
    <w:rsid w:val="00276B20"/>
    <w:rsid w:val="00277288"/>
    <w:rsid w:val="0027740E"/>
    <w:rsid w:val="00277DDF"/>
    <w:rsid w:val="00280251"/>
    <w:rsid w:val="00280484"/>
    <w:rsid w:val="00280B47"/>
    <w:rsid w:val="00280DDA"/>
    <w:rsid w:val="002816B9"/>
    <w:rsid w:val="00281ED4"/>
    <w:rsid w:val="0028255E"/>
    <w:rsid w:val="00282668"/>
    <w:rsid w:val="0028277B"/>
    <w:rsid w:val="00282812"/>
    <w:rsid w:val="00283C23"/>
    <w:rsid w:val="00284404"/>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170"/>
    <w:rsid w:val="002D05B3"/>
    <w:rsid w:val="002D071A"/>
    <w:rsid w:val="002D2252"/>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E8"/>
    <w:rsid w:val="00300ACD"/>
    <w:rsid w:val="00300FBA"/>
    <w:rsid w:val="003010EB"/>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CF6"/>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E3C"/>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734"/>
    <w:rsid w:val="003765D2"/>
    <w:rsid w:val="00376966"/>
    <w:rsid w:val="00376D4B"/>
    <w:rsid w:val="00376ED2"/>
    <w:rsid w:val="003778C9"/>
    <w:rsid w:val="0038060E"/>
    <w:rsid w:val="003806B5"/>
    <w:rsid w:val="00380C80"/>
    <w:rsid w:val="0038207E"/>
    <w:rsid w:val="00382108"/>
    <w:rsid w:val="00382335"/>
    <w:rsid w:val="00382D5F"/>
    <w:rsid w:val="003833AC"/>
    <w:rsid w:val="00384028"/>
    <w:rsid w:val="003849C9"/>
    <w:rsid w:val="00384B99"/>
    <w:rsid w:val="003865CA"/>
    <w:rsid w:val="00386E67"/>
    <w:rsid w:val="003871C1"/>
    <w:rsid w:val="00387427"/>
    <w:rsid w:val="00387A30"/>
    <w:rsid w:val="00387B0B"/>
    <w:rsid w:val="003901C2"/>
    <w:rsid w:val="003903D3"/>
    <w:rsid w:val="00390858"/>
    <w:rsid w:val="00390E9F"/>
    <w:rsid w:val="00390EAA"/>
    <w:rsid w:val="003913A3"/>
    <w:rsid w:val="003915C1"/>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19D5"/>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9DE"/>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9DF"/>
    <w:rsid w:val="00424182"/>
    <w:rsid w:val="004246C0"/>
    <w:rsid w:val="00425AD1"/>
    <w:rsid w:val="00426073"/>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4050"/>
    <w:rsid w:val="00485C7E"/>
    <w:rsid w:val="00485CF6"/>
    <w:rsid w:val="00485F39"/>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1276"/>
    <w:rsid w:val="004D20EC"/>
    <w:rsid w:val="004D2C7D"/>
    <w:rsid w:val="004D3656"/>
    <w:rsid w:val="004D3ADB"/>
    <w:rsid w:val="004D3C23"/>
    <w:rsid w:val="004D3CB7"/>
    <w:rsid w:val="004D3E54"/>
    <w:rsid w:val="004D4538"/>
    <w:rsid w:val="004D4A9F"/>
    <w:rsid w:val="004D4FB6"/>
    <w:rsid w:val="004D572F"/>
    <w:rsid w:val="004D593B"/>
    <w:rsid w:val="004D5DB5"/>
    <w:rsid w:val="004D62DA"/>
    <w:rsid w:val="004D71A3"/>
    <w:rsid w:val="004D78ED"/>
    <w:rsid w:val="004E05D3"/>
    <w:rsid w:val="004E0E63"/>
    <w:rsid w:val="004E17F8"/>
    <w:rsid w:val="004E1B13"/>
    <w:rsid w:val="004E23A7"/>
    <w:rsid w:val="004E2554"/>
    <w:rsid w:val="004E25AF"/>
    <w:rsid w:val="004E28CB"/>
    <w:rsid w:val="004E3BCF"/>
    <w:rsid w:val="004E4194"/>
    <w:rsid w:val="004E5418"/>
    <w:rsid w:val="004E5EAD"/>
    <w:rsid w:val="004E679C"/>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0A3"/>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7942"/>
    <w:rsid w:val="00590164"/>
    <w:rsid w:val="005902F9"/>
    <w:rsid w:val="00590652"/>
    <w:rsid w:val="00590995"/>
    <w:rsid w:val="00591628"/>
    <w:rsid w:val="00591AD4"/>
    <w:rsid w:val="005929A6"/>
    <w:rsid w:val="00593956"/>
    <w:rsid w:val="005956C5"/>
    <w:rsid w:val="005966C7"/>
    <w:rsid w:val="00596976"/>
    <w:rsid w:val="00596F7D"/>
    <w:rsid w:val="00597401"/>
    <w:rsid w:val="00597649"/>
    <w:rsid w:val="00597FF7"/>
    <w:rsid w:val="005A186A"/>
    <w:rsid w:val="005A19A2"/>
    <w:rsid w:val="005A1AF7"/>
    <w:rsid w:val="005A1B4F"/>
    <w:rsid w:val="005A2280"/>
    <w:rsid w:val="005A2454"/>
    <w:rsid w:val="005A2A9B"/>
    <w:rsid w:val="005A3CCD"/>
    <w:rsid w:val="005A456D"/>
    <w:rsid w:val="005A64F5"/>
    <w:rsid w:val="005A69F8"/>
    <w:rsid w:val="005A6AD0"/>
    <w:rsid w:val="005A6C32"/>
    <w:rsid w:val="005A74E8"/>
    <w:rsid w:val="005B05C2"/>
    <w:rsid w:val="005B0C52"/>
    <w:rsid w:val="005B15C2"/>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5FA"/>
    <w:rsid w:val="005C7699"/>
    <w:rsid w:val="005C7F18"/>
    <w:rsid w:val="005D01DA"/>
    <w:rsid w:val="005D0696"/>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2050"/>
    <w:rsid w:val="005E2134"/>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C92"/>
    <w:rsid w:val="006229C8"/>
    <w:rsid w:val="0062322C"/>
    <w:rsid w:val="00624600"/>
    <w:rsid w:val="00624F42"/>
    <w:rsid w:val="00625450"/>
    <w:rsid w:val="0062545C"/>
    <w:rsid w:val="006255C3"/>
    <w:rsid w:val="00626655"/>
    <w:rsid w:val="00626C0D"/>
    <w:rsid w:val="00626E16"/>
    <w:rsid w:val="00627034"/>
    <w:rsid w:val="00627285"/>
    <w:rsid w:val="00627325"/>
    <w:rsid w:val="006274B4"/>
    <w:rsid w:val="0062751C"/>
    <w:rsid w:val="006276A9"/>
    <w:rsid w:val="00627F85"/>
    <w:rsid w:val="0063008A"/>
    <w:rsid w:val="00631259"/>
    <w:rsid w:val="0063166B"/>
    <w:rsid w:val="00631C31"/>
    <w:rsid w:val="00631FE8"/>
    <w:rsid w:val="0063224E"/>
    <w:rsid w:val="00632CE3"/>
    <w:rsid w:val="00632E8A"/>
    <w:rsid w:val="006331FF"/>
    <w:rsid w:val="00633C9C"/>
    <w:rsid w:val="00633CB5"/>
    <w:rsid w:val="00633E7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6F7C"/>
    <w:rsid w:val="006B77EA"/>
    <w:rsid w:val="006B79F4"/>
    <w:rsid w:val="006C146A"/>
    <w:rsid w:val="006C252A"/>
    <w:rsid w:val="006C26A2"/>
    <w:rsid w:val="006C2711"/>
    <w:rsid w:val="006C3804"/>
    <w:rsid w:val="006C3B84"/>
    <w:rsid w:val="006C3E81"/>
    <w:rsid w:val="006C43FA"/>
    <w:rsid w:val="006C5566"/>
    <w:rsid w:val="006C5695"/>
    <w:rsid w:val="006C59F3"/>
    <w:rsid w:val="006C64E5"/>
    <w:rsid w:val="006C69F1"/>
    <w:rsid w:val="006C71A8"/>
    <w:rsid w:val="006C7292"/>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732"/>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77A30"/>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789"/>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196"/>
    <w:rsid w:val="007A7ACB"/>
    <w:rsid w:val="007B138C"/>
    <w:rsid w:val="007B172A"/>
    <w:rsid w:val="007B1A38"/>
    <w:rsid w:val="007B23FA"/>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74F"/>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4C02"/>
    <w:rsid w:val="00895049"/>
    <w:rsid w:val="0089580A"/>
    <w:rsid w:val="00895822"/>
    <w:rsid w:val="0089582D"/>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A3"/>
    <w:rsid w:val="009361D6"/>
    <w:rsid w:val="0093620A"/>
    <w:rsid w:val="00936502"/>
    <w:rsid w:val="00936A27"/>
    <w:rsid w:val="00937269"/>
    <w:rsid w:val="009376B8"/>
    <w:rsid w:val="0093794D"/>
    <w:rsid w:val="00937D62"/>
    <w:rsid w:val="009401E3"/>
    <w:rsid w:val="00940646"/>
    <w:rsid w:val="00941AD0"/>
    <w:rsid w:val="00942479"/>
    <w:rsid w:val="009427EC"/>
    <w:rsid w:val="00942F44"/>
    <w:rsid w:val="00943028"/>
    <w:rsid w:val="009435E6"/>
    <w:rsid w:val="00943D13"/>
    <w:rsid w:val="00944791"/>
    <w:rsid w:val="00944A80"/>
    <w:rsid w:val="00945126"/>
    <w:rsid w:val="00945239"/>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752"/>
    <w:rsid w:val="00974E2C"/>
    <w:rsid w:val="0097525C"/>
    <w:rsid w:val="009753EC"/>
    <w:rsid w:val="00976849"/>
    <w:rsid w:val="00977056"/>
    <w:rsid w:val="00977FD7"/>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53FE"/>
    <w:rsid w:val="009961C4"/>
    <w:rsid w:val="009966A4"/>
    <w:rsid w:val="00996A33"/>
    <w:rsid w:val="00996D4D"/>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7AE"/>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271"/>
    <w:rsid w:val="00A42C7F"/>
    <w:rsid w:val="00A43AFB"/>
    <w:rsid w:val="00A43B20"/>
    <w:rsid w:val="00A43EAA"/>
    <w:rsid w:val="00A447FE"/>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0C9"/>
    <w:rsid w:val="00A51194"/>
    <w:rsid w:val="00A5144B"/>
    <w:rsid w:val="00A51A66"/>
    <w:rsid w:val="00A51A70"/>
    <w:rsid w:val="00A525F9"/>
    <w:rsid w:val="00A526CE"/>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1D1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4A"/>
    <w:rsid w:val="00B029D8"/>
    <w:rsid w:val="00B02AE0"/>
    <w:rsid w:val="00B03426"/>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47"/>
    <w:rsid w:val="00B16EEF"/>
    <w:rsid w:val="00B1716A"/>
    <w:rsid w:val="00B17427"/>
    <w:rsid w:val="00B178DE"/>
    <w:rsid w:val="00B17C31"/>
    <w:rsid w:val="00B17D5B"/>
    <w:rsid w:val="00B2007F"/>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056F"/>
    <w:rsid w:val="00B31897"/>
    <w:rsid w:val="00B318CF"/>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27FC"/>
    <w:rsid w:val="00BA3A37"/>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C7EE1"/>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79"/>
    <w:rsid w:val="00BE1AFD"/>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62B"/>
    <w:rsid w:val="00BF18C7"/>
    <w:rsid w:val="00BF21EA"/>
    <w:rsid w:val="00BF29DB"/>
    <w:rsid w:val="00BF2BC8"/>
    <w:rsid w:val="00BF3052"/>
    <w:rsid w:val="00BF35FD"/>
    <w:rsid w:val="00BF3DD1"/>
    <w:rsid w:val="00BF5322"/>
    <w:rsid w:val="00BF6B8A"/>
    <w:rsid w:val="00BF7FE9"/>
    <w:rsid w:val="00C0008A"/>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A4A"/>
    <w:rsid w:val="00C57060"/>
    <w:rsid w:val="00C57573"/>
    <w:rsid w:val="00C5758C"/>
    <w:rsid w:val="00C57786"/>
    <w:rsid w:val="00C57ADB"/>
    <w:rsid w:val="00C57DCF"/>
    <w:rsid w:val="00C60565"/>
    <w:rsid w:val="00C607E7"/>
    <w:rsid w:val="00C60843"/>
    <w:rsid w:val="00C6098E"/>
    <w:rsid w:val="00C61411"/>
    <w:rsid w:val="00C616AA"/>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6FA"/>
    <w:rsid w:val="00C8299C"/>
    <w:rsid w:val="00C82EAF"/>
    <w:rsid w:val="00C83033"/>
    <w:rsid w:val="00C8346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47D4"/>
    <w:rsid w:val="00C94AE3"/>
    <w:rsid w:val="00C94BF2"/>
    <w:rsid w:val="00C94EB4"/>
    <w:rsid w:val="00C950EA"/>
    <w:rsid w:val="00C9533C"/>
    <w:rsid w:val="00C96491"/>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7B9"/>
    <w:rsid w:val="00CA482E"/>
    <w:rsid w:val="00CA4E98"/>
    <w:rsid w:val="00CA4ECB"/>
    <w:rsid w:val="00CA5044"/>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53C"/>
    <w:rsid w:val="00CE263D"/>
    <w:rsid w:val="00CE2869"/>
    <w:rsid w:val="00CE2877"/>
    <w:rsid w:val="00CE321F"/>
    <w:rsid w:val="00CE3ADE"/>
    <w:rsid w:val="00CE3C63"/>
    <w:rsid w:val="00CE4999"/>
    <w:rsid w:val="00CE558C"/>
    <w:rsid w:val="00CE5F3A"/>
    <w:rsid w:val="00CE619E"/>
    <w:rsid w:val="00CE62BC"/>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499"/>
    <w:rsid w:val="00CF587C"/>
    <w:rsid w:val="00CF5CC0"/>
    <w:rsid w:val="00CF6143"/>
    <w:rsid w:val="00CF675E"/>
    <w:rsid w:val="00CF681C"/>
    <w:rsid w:val="00CF692C"/>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AC1"/>
    <w:rsid w:val="00D33F19"/>
    <w:rsid w:val="00D34AF5"/>
    <w:rsid w:val="00D35667"/>
    <w:rsid w:val="00D35825"/>
    <w:rsid w:val="00D35EF1"/>
    <w:rsid w:val="00D36495"/>
    <w:rsid w:val="00D368AA"/>
    <w:rsid w:val="00D37666"/>
    <w:rsid w:val="00D41272"/>
    <w:rsid w:val="00D41A63"/>
    <w:rsid w:val="00D41FE7"/>
    <w:rsid w:val="00D4295D"/>
    <w:rsid w:val="00D42A1F"/>
    <w:rsid w:val="00D4476E"/>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41CA"/>
    <w:rsid w:val="00DA42A6"/>
    <w:rsid w:val="00DA42F2"/>
    <w:rsid w:val="00DA42F4"/>
    <w:rsid w:val="00DA44D3"/>
    <w:rsid w:val="00DA505B"/>
    <w:rsid w:val="00DA5A6D"/>
    <w:rsid w:val="00DA67AD"/>
    <w:rsid w:val="00DA714F"/>
    <w:rsid w:val="00DA7484"/>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62E2"/>
    <w:rsid w:val="00DB6882"/>
    <w:rsid w:val="00DB6AFD"/>
    <w:rsid w:val="00DB6CE8"/>
    <w:rsid w:val="00DB6F3B"/>
    <w:rsid w:val="00DB6F9E"/>
    <w:rsid w:val="00DB70EE"/>
    <w:rsid w:val="00DB7162"/>
    <w:rsid w:val="00DB7188"/>
    <w:rsid w:val="00DB73D1"/>
    <w:rsid w:val="00DB763C"/>
    <w:rsid w:val="00DC0799"/>
    <w:rsid w:val="00DC0F29"/>
    <w:rsid w:val="00DC18F2"/>
    <w:rsid w:val="00DC24D9"/>
    <w:rsid w:val="00DC2762"/>
    <w:rsid w:val="00DC35AC"/>
    <w:rsid w:val="00DC3B67"/>
    <w:rsid w:val="00DC3E10"/>
    <w:rsid w:val="00DC3E34"/>
    <w:rsid w:val="00DC4256"/>
    <w:rsid w:val="00DC4346"/>
    <w:rsid w:val="00DC55DD"/>
    <w:rsid w:val="00DC6323"/>
    <w:rsid w:val="00DC63DF"/>
    <w:rsid w:val="00DC714E"/>
    <w:rsid w:val="00DC7383"/>
    <w:rsid w:val="00DC74AF"/>
    <w:rsid w:val="00DC75DA"/>
    <w:rsid w:val="00DC788D"/>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80"/>
    <w:rsid w:val="00DD6ADD"/>
    <w:rsid w:val="00DD7C2F"/>
    <w:rsid w:val="00DD7E22"/>
    <w:rsid w:val="00DE0741"/>
    <w:rsid w:val="00DE077B"/>
    <w:rsid w:val="00DE0A57"/>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2B33"/>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1E6"/>
    <w:rsid w:val="00E63624"/>
    <w:rsid w:val="00E63B3F"/>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C3C"/>
    <w:rsid w:val="00ED2D48"/>
    <w:rsid w:val="00ED2DCE"/>
    <w:rsid w:val="00ED2E0E"/>
    <w:rsid w:val="00ED3063"/>
    <w:rsid w:val="00ED3776"/>
    <w:rsid w:val="00ED3AA5"/>
    <w:rsid w:val="00ED3CA3"/>
    <w:rsid w:val="00ED3D23"/>
    <w:rsid w:val="00ED420A"/>
    <w:rsid w:val="00ED4723"/>
    <w:rsid w:val="00ED5CC0"/>
    <w:rsid w:val="00ED6166"/>
    <w:rsid w:val="00ED61D4"/>
    <w:rsid w:val="00ED6A18"/>
    <w:rsid w:val="00ED7AC1"/>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D8"/>
    <w:rsid w:val="00EE6F65"/>
    <w:rsid w:val="00EE716D"/>
    <w:rsid w:val="00EE72E0"/>
    <w:rsid w:val="00EE7666"/>
    <w:rsid w:val="00EF0454"/>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276"/>
    <w:rsid w:val="00F46ACE"/>
    <w:rsid w:val="00F46DF4"/>
    <w:rsid w:val="00F477C8"/>
    <w:rsid w:val="00F47EA2"/>
    <w:rsid w:val="00F50AA0"/>
    <w:rsid w:val="00F51276"/>
    <w:rsid w:val="00F51CD4"/>
    <w:rsid w:val="00F51F24"/>
    <w:rsid w:val="00F52059"/>
    <w:rsid w:val="00F528C4"/>
    <w:rsid w:val="00F535A2"/>
    <w:rsid w:val="00F53BC0"/>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58D"/>
    <w:rsid w:val="00F94286"/>
    <w:rsid w:val="00F9452E"/>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39"/>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F2661-D69A-45EA-8ECA-928D867B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Georg Hampel</cp:lastModifiedBy>
  <cp:revision>2</cp:revision>
  <cp:lastPrinted>2016-08-09T16:44:00Z</cp:lastPrinted>
  <dcterms:created xsi:type="dcterms:W3CDTF">2018-01-10T18:57:00Z</dcterms:created>
  <dcterms:modified xsi:type="dcterms:W3CDTF">2018-01-10T18:57:00Z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ies>
</file>